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E4A" w:rsidRDefault="00CC4E46">
      <w:pPr>
        <w:spacing w:after="0" w:line="265" w:lineRule="auto"/>
        <w:ind w:left="19"/>
        <w:jc w:val="center"/>
      </w:pPr>
      <w:r>
        <w:rPr>
          <w:rFonts w:ascii="Lucida Console" w:eastAsia="Lucida Console" w:hAnsi="Lucida Console" w:cs="Lucida Console"/>
          <w:sz w:val="32"/>
        </w:rPr>
        <w:t xml:space="preserve"> OPIS  TECHNICZNY</w:t>
      </w:r>
    </w:p>
    <w:p w:rsidR="00C57E4A" w:rsidRDefault="00CC4E46">
      <w:pPr>
        <w:spacing w:after="564" w:line="265" w:lineRule="auto"/>
        <w:ind w:left="19"/>
        <w:jc w:val="center"/>
      </w:pPr>
      <w:r>
        <w:rPr>
          <w:rFonts w:ascii="Lucida Console" w:eastAsia="Lucida Console" w:hAnsi="Lucida Console" w:cs="Lucida Console"/>
          <w:sz w:val="32"/>
        </w:rPr>
        <w:t>Branża Sanitarna</w:t>
      </w:r>
    </w:p>
    <w:p w:rsidR="00C57E4A" w:rsidRDefault="00CC4E46">
      <w:pPr>
        <w:pStyle w:val="Nagwek1"/>
        <w:spacing w:after="298"/>
        <w:ind w:left="-5"/>
      </w:pPr>
      <w:r>
        <w:rPr>
          <w:u w:val="none"/>
        </w:rPr>
        <w:t xml:space="preserve">1.  </w:t>
      </w:r>
      <w:r>
        <w:t>PODSTAWA  OPRACOWANIA</w:t>
      </w:r>
    </w:p>
    <w:p w:rsidR="00C57E4A" w:rsidRDefault="00CC4E46">
      <w:pPr>
        <w:numPr>
          <w:ilvl w:val="0"/>
          <w:numId w:val="1"/>
        </w:numPr>
        <w:ind w:hanging="146"/>
      </w:pPr>
      <w:r>
        <w:t>zlecenie  Inwestora</w:t>
      </w:r>
    </w:p>
    <w:p w:rsidR="00C57E4A" w:rsidRDefault="00CC4E46">
      <w:pPr>
        <w:numPr>
          <w:ilvl w:val="0"/>
          <w:numId w:val="1"/>
        </w:numPr>
        <w:ind w:hanging="146"/>
      </w:pPr>
      <w:r>
        <w:t>inwentaryzacja  budowlana</w:t>
      </w:r>
    </w:p>
    <w:p w:rsidR="00C57E4A" w:rsidRDefault="00CC4E46">
      <w:pPr>
        <w:numPr>
          <w:ilvl w:val="0"/>
          <w:numId w:val="1"/>
        </w:numPr>
        <w:ind w:hanging="146"/>
      </w:pPr>
      <w:r>
        <w:t xml:space="preserve">mapa sytuacyjno-wysokościowa  </w:t>
      </w:r>
    </w:p>
    <w:p w:rsidR="00C57E4A" w:rsidRDefault="00CC4E46">
      <w:pPr>
        <w:numPr>
          <w:ilvl w:val="0"/>
          <w:numId w:val="1"/>
        </w:numPr>
        <w:ind w:hanging="146"/>
      </w:pPr>
      <w:r>
        <w:t>wizja w terenie</w:t>
      </w:r>
      <w:bookmarkStart w:id="0" w:name="_GoBack"/>
      <w:bookmarkEnd w:id="0"/>
    </w:p>
    <w:p w:rsidR="00C57E4A" w:rsidRDefault="00CC4E46">
      <w:pPr>
        <w:numPr>
          <w:ilvl w:val="0"/>
          <w:numId w:val="1"/>
        </w:numPr>
        <w:spacing w:after="283"/>
        <w:ind w:hanging="146"/>
      </w:pPr>
      <w:r>
        <w:t>obowiązujące  normy i przepisy</w:t>
      </w:r>
    </w:p>
    <w:p w:rsidR="00C57E4A" w:rsidRDefault="00CC4E46">
      <w:pPr>
        <w:pStyle w:val="Nagwek1"/>
        <w:ind w:left="-5"/>
      </w:pPr>
      <w:r>
        <w:rPr>
          <w:u w:val="none"/>
        </w:rPr>
        <w:t xml:space="preserve">2.  </w:t>
      </w:r>
      <w:r>
        <w:t>ZAKRES  OPRACOWANIA</w:t>
      </w:r>
    </w:p>
    <w:p w:rsidR="00C57E4A" w:rsidRDefault="00CC4E46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C57E4A" w:rsidRDefault="00CC4E46">
      <w:pPr>
        <w:ind w:left="-5" w:right="231"/>
      </w:pPr>
      <w:r>
        <w:t xml:space="preserve">    Opracowanie  obejmuje  Projekt Budowlany  instalacji sanitarnych : wodociągowej , kanalizacji sanitarnej , instalacji c.o. , wentylacji mechanicznej dla przebudowywanych  i remontowanych  węzłów sanitarnych w Szkole Podstawowej nr 1 przy ul. Kościelnej</w:t>
      </w:r>
      <w:r>
        <w:t xml:space="preserve"> w Lądku Zdrój. </w:t>
      </w:r>
    </w:p>
    <w:p w:rsidR="00C57E4A" w:rsidRDefault="00CC4E46">
      <w:pPr>
        <w:spacing w:after="0" w:line="240" w:lineRule="auto"/>
        <w:ind w:left="-5"/>
        <w:jc w:val="left"/>
      </w:pPr>
      <w:r>
        <w:t xml:space="preserve">Odprowadzenie ścieków sanitarnych   przewidziano do istniejącej kanalizacji sanitarnej  miejskiej przez istniejące piony sanitarne  . Zasilanie w wodę z istniejącej instalacji wewnętrznej.  Zasilanie grzejników z istniejącej instalacji </w:t>
      </w:r>
    </w:p>
    <w:p w:rsidR="00C57E4A" w:rsidRDefault="00CC4E46">
      <w:pPr>
        <w:spacing w:after="276" w:line="240" w:lineRule="auto"/>
        <w:ind w:left="-5"/>
        <w:jc w:val="left"/>
      </w:pPr>
      <w:r>
        <w:t>c.</w:t>
      </w:r>
      <w:r>
        <w:t xml:space="preserve">o. w sanitariatach. W pomieszczeniach węzłów sanitarnych brak wentylacji . Opracowanie obejmuje rozwiązanie wentylacji </w:t>
      </w:r>
      <w:proofErr w:type="spellStart"/>
      <w:r>
        <w:t>nawiewno</w:t>
      </w:r>
      <w:proofErr w:type="spellEnd"/>
      <w:r>
        <w:t>-wywiewnej mechanicznej.</w:t>
      </w:r>
    </w:p>
    <w:p w:rsidR="00C57E4A" w:rsidRDefault="00CC4E46">
      <w:pPr>
        <w:spacing w:after="254" w:line="259" w:lineRule="auto"/>
        <w:ind w:left="-5"/>
        <w:jc w:val="left"/>
      </w:pPr>
      <w:r>
        <w:t xml:space="preserve">3.  </w:t>
      </w:r>
      <w:r>
        <w:rPr>
          <w:u w:val="single" w:color="000000"/>
        </w:rPr>
        <w:t>WEWNĘTRZNA   INSTALACJA   C.O.</w:t>
      </w:r>
    </w:p>
    <w:p w:rsidR="00C57E4A" w:rsidRDefault="00CC4E46">
      <w:pPr>
        <w:spacing w:after="0" w:line="240" w:lineRule="auto"/>
        <w:ind w:left="-5"/>
        <w:jc w:val="left"/>
      </w:pPr>
      <w:r>
        <w:t xml:space="preserve">     Pomieszczenia ogrzewane przez istniejące grzejniki zasilane z istniejących pionów co.   W węzłach zamontowane są nowe grzejniki panelowe i nie przewiduje się ich  wymiany. Należy pozostawić istniejące. </w:t>
      </w:r>
    </w:p>
    <w:p w:rsidR="00C57E4A" w:rsidRDefault="00CC4E46">
      <w:pPr>
        <w:spacing w:after="226"/>
        <w:ind w:left="-5"/>
      </w:pPr>
      <w:r>
        <w:t>Odpowietrzenie instalacji realizowane jest przez</w:t>
      </w:r>
      <w:r>
        <w:t xml:space="preserve"> samoczynne, automatyczne zawory odpowietrzające umieszczone bezpośrednio przy grzejnikach.</w:t>
      </w:r>
    </w:p>
    <w:p w:rsidR="00C57E4A" w:rsidRDefault="00CC4E46">
      <w:pPr>
        <w:pStyle w:val="Nagwek2"/>
        <w:ind w:left="-5"/>
      </w:pPr>
      <w:r>
        <w:rPr>
          <w:u w:val="none"/>
        </w:rPr>
        <w:t xml:space="preserve">4.  </w:t>
      </w:r>
      <w:r>
        <w:t>PROJEKTOWANA  INSTALACJA WODOCIĄGOWA WEWNĘTRZNA</w:t>
      </w:r>
    </w:p>
    <w:p w:rsidR="00C57E4A" w:rsidRDefault="00CC4E46">
      <w:pPr>
        <w:ind w:left="-5"/>
      </w:pPr>
      <w:r>
        <w:t xml:space="preserve">       Doprowadzenie wody do sanitariatów przewidziano z istniejącej instalacji wewnętrznej / woda zimna ,  ciep</w:t>
      </w:r>
      <w:r>
        <w:t xml:space="preserve">ła , cyrkulacja / . </w:t>
      </w:r>
    </w:p>
    <w:p w:rsidR="00C57E4A" w:rsidRDefault="00CC4E46">
      <w:pPr>
        <w:spacing w:after="0" w:line="240" w:lineRule="auto"/>
        <w:ind w:left="-5"/>
        <w:jc w:val="left"/>
      </w:pPr>
      <w:r>
        <w:t>Całość instalacji  wody ciepłej  , cyrkulacji i zimnej  /piony i podejścia do urządzeń/ wykonać  z rur  z tworzywa PP3 w izolacji  cieplnej. Rury prowadzić w bruzdach ściennych lub podłogowych pod tynkiem.</w:t>
      </w:r>
    </w:p>
    <w:p w:rsidR="00C57E4A" w:rsidRDefault="00CC4E46">
      <w:pPr>
        <w:ind w:left="-5"/>
      </w:pPr>
      <w:r>
        <w:t>Montaż poziomów i pionów wodn</w:t>
      </w:r>
      <w:r>
        <w:t xml:space="preserve">ych sugeruje się przeprowadzić przed  lub równolegle  z  montowaniem  podejść  kanalizacyjnych. Pozwala  to  na uzyskanie  minimalnej  ilości  obejść. Przewody wodociągowe prowadzić równolegle do płaszczyzny ścian. </w:t>
      </w:r>
    </w:p>
    <w:p w:rsidR="00C57E4A" w:rsidRDefault="00CC4E46">
      <w:pPr>
        <w:ind w:left="-5"/>
      </w:pPr>
      <w:r>
        <w:t xml:space="preserve">Pod pionami  wodociągowymi   zamontować </w:t>
      </w:r>
      <w:r>
        <w:t xml:space="preserve"> zawory  odcinające  ze  spustem. Umożliwi  to  spuszczenie  wody z części  instalacji  wodociągowej.</w:t>
      </w:r>
    </w:p>
    <w:p w:rsidR="00C57E4A" w:rsidRDefault="00CC4E46">
      <w:pPr>
        <w:ind w:left="-5"/>
      </w:pPr>
      <w:r>
        <w:t>W  miejscach  przejść  przewodów  przez  ściany   należy osadzić tuleje,   które po</w:t>
      </w:r>
      <w:r>
        <w:rPr>
          <w:sz w:val="28"/>
        </w:rPr>
        <w:t xml:space="preserve">  </w:t>
      </w:r>
      <w:r>
        <w:t xml:space="preserve">montażu  wypełnić  materiałem  plastycznym. </w:t>
      </w:r>
    </w:p>
    <w:p w:rsidR="00C57E4A" w:rsidRDefault="00CC4E46">
      <w:pPr>
        <w:ind w:left="-5"/>
      </w:pPr>
      <w:r>
        <w:t>Armaturę odcinającą wyko</w:t>
      </w:r>
      <w:r>
        <w:t xml:space="preserve">nać zgodnie z projektem. </w:t>
      </w:r>
    </w:p>
    <w:p w:rsidR="00C57E4A" w:rsidRDefault="00CC4E46">
      <w:pPr>
        <w:ind w:left="-5"/>
      </w:pPr>
      <w:r>
        <w:t xml:space="preserve">Ze względu na daleką dostawę </w:t>
      </w:r>
      <w:proofErr w:type="spellStart"/>
      <w:r>
        <w:t>cwu</w:t>
      </w:r>
      <w:proofErr w:type="spellEnd"/>
      <w:r>
        <w:t xml:space="preserve"> należy w budynku wykonano instalację cyrkulacyjną  na poziomie piwnic.  Pion cyrkulacyjny wyprowadzić do remontowanych sanitariatów.</w:t>
      </w:r>
    </w:p>
    <w:p w:rsidR="00C57E4A" w:rsidRDefault="00CC4E46">
      <w:pPr>
        <w:ind w:left="-5"/>
      </w:pPr>
      <w:r>
        <w:lastRenderedPageBreak/>
        <w:t>Ciepła woda przygotowana będzie centralnie w kotłowni.</w:t>
      </w:r>
    </w:p>
    <w:p w:rsidR="00C57E4A" w:rsidRDefault="00CC4E46">
      <w:pPr>
        <w:ind w:left="-5"/>
      </w:pPr>
      <w:r>
        <w:t>Po wykona</w:t>
      </w:r>
      <w:r>
        <w:t>niu instalacji przeprowadzić próbę szczelności – przed zatynkowaniem bruzd.</w:t>
      </w:r>
    </w:p>
    <w:p w:rsidR="00C57E4A" w:rsidRDefault="00CC4E46">
      <w:pPr>
        <w:spacing w:after="363"/>
        <w:ind w:left="-5"/>
      </w:pPr>
      <w:r>
        <w:t>Podłączenie urządzeń wykonać zgodnie z  instrukcją producenta.</w:t>
      </w:r>
    </w:p>
    <w:p w:rsidR="00C57E4A" w:rsidRDefault="00CC4E46">
      <w:pPr>
        <w:pStyle w:val="Nagwek2"/>
        <w:ind w:left="-5"/>
      </w:pPr>
      <w:r>
        <w:rPr>
          <w:u w:val="none"/>
        </w:rPr>
        <w:t xml:space="preserve">5.  </w:t>
      </w:r>
      <w:r>
        <w:t>PROJEKTOWANA  KANALIZACJA  SANITARNA WEWNĘTRZNA</w:t>
      </w:r>
    </w:p>
    <w:p w:rsidR="00C57E4A" w:rsidRDefault="00CC4E46">
      <w:pPr>
        <w:ind w:left="-5"/>
      </w:pPr>
      <w:r>
        <w:t xml:space="preserve">      Odprowadzenie  ścieków   przewidziano do istniejącej kanali</w:t>
      </w:r>
      <w:r>
        <w:t>zacji sanitarnej do pionów kanalizacyjnych. Piony  prowadzić w bruzdach ściennych / w miejscu istniejących/. Piony kanalizacyjne wykonać z rur PCV o średnicy 110 i 75 mm. Na pionach montować rewizję. Piony wyprowadzić nad dach budynku , zakończyć rurami wy</w:t>
      </w:r>
      <w:r>
        <w:t>wiewnymi 160 i 110 mm.</w:t>
      </w:r>
    </w:p>
    <w:p w:rsidR="00C57E4A" w:rsidRDefault="00CC4E46">
      <w:pPr>
        <w:ind w:left="-5"/>
      </w:pPr>
      <w:r>
        <w:t xml:space="preserve">Poziome odcinki kanalizacji sanitarnej  wykonać z rur PCV  110, 75 i 50  mm prowadzić ze spadkiem w kierunku głównego pionu sanitarnego. </w:t>
      </w:r>
    </w:p>
    <w:p w:rsidR="00C57E4A" w:rsidRDefault="00CC4E46">
      <w:pPr>
        <w:ind w:left="-5"/>
      </w:pPr>
      <w:r>
        <w:t xml:space="preserve">Wszystkie   piony  i  połączenia  z  przyborami  wykonać z rur i kształtek  PCW. We wszystkich </w:t>
      </w:r>
      <w:r>
        <w:t>pomieszczeniach zamontować wpusty ściekowe  oraz zawory ze złączką do węża .</w:t>
      </w:r>
    </w:p>
    <w:p w:rsidR="00C57E4A" w:rsidRDefault="00CC4E46">
      <w:pPr>
        <w:spacing w:after="266"/>
        <w:ind w:left="-5"/>
      </w:pPr>
      <w:r>
        <w:t xml:space="preserve">Odprowadzenie   ścieków z projektowanych  urządzeń  za pomocą odpływów z syfonem o średnicy 50 mm. Stosować wpusty  z zamknięciem </w:t>
      </w:r>
      <w:proofErr w:type="spellStart"/>
      <w:r>
        <w:t>przeciwzapachowym</w:t>
      </w:r>
      <w:proofErr w:type="spellEnd"/>
      <w:r>
        <w:t xml:space="preserve"> ściśle wg instrukcji producenta</w:t>
      </w:r>
      <w:r>
        <w:t>.</w:t>
      </w:r>
    </w:p>
    <w:p w:rsidR="00C57E4A" w:rsidRDefault="00CC4E46">
      <w:pPr>
        <w:pStyle w:val="Nagwek2"/>
        <w:ind w:left="-5"/>
      </w:pPr>
      <w:r>
        <w:t xml:space="preserve">6. WENTYLACJA </w:t>
      </w:r>
      <w:r w:rsidR="00A47F4D" w:rsidRPr="00A47F4D">
        <w:rPr>
          <w:color w:val="FF0000"/>
        </w:rPr>
        <w:t>GRAWITACYJNA</w:t>
      </w:r>
    </w:p>
    <w:p w:rsidR="00C57E4A" w:rsidRPr="00A47F4D" w:rsidRDefault="00A47F4D">
      <w:pPr>
        <w:spacing w:after="368"/>
        <w:ind w:left="-5"/>
        <w:rPr>
          <w:color w:val="FF0000"/>
        </w:rPr>
      </w:pPr>
      <w:r w:rsidRPr="00A47F4D">
        <w:rPr>
          <w:color w:val="FF0000"/>
        </w:rPr>
        <w:t>Wyciąg</w:t>
      </w:r>
      <w:r w:rsidR="00CC4E46" w:rsidRPr="00A47F4D">
        <w:rPr>
          <w:color w:val="FF0000"/>
        </w:rPr>
        <w:t xml:space="preserve"> powietrza realizowany będzie przez </w:t>
      </w:r>
      <w:r w:rsidRPr="00A47F4D">
        <w:rPr>
          <w:color w:val="FF0000"/>
        </w:rPr>
        <w:t>istniejące kanały wentylacyjne</w:t>
      </w:r>
    </w:p>
    <w:p w:rsidR="00C57E4A" w:rsidRDefault="00CC4E46">
      <w:pPr>
        <w:spacing w:after="271" w:line="259" w:lineRule="auto"/>
        <w:ind w:left="0" w:firstLine="0"/>
        <w:jc w:val="left"/>
      </w:pPr>
      <w:r>
        <w:rPr>
          <w:b/>
          <w:sz w:val="28"/>
        </w:rPr>
        <w:t>Opis rozwiązań projektowych.</w:t>
      </w:r>
    </w:p>
    <w:p w:rsidR="00C57E4A" w:rsidRDefault="00CC4E46">
      <w:pPr>
        <w:numPr>
          <w:ilvl w:val="0"/>
          <w:numId w:val="2"/>
        </w:numPr>
        <w:ind w:hanging="360"/>
      </w:pPr>
      <w:r>
        <w:t xml:space="preserve">Ogrzewanie  grzejnikowe wodne </w:t>
      </w:r>
    </w:p>
    <w:p w:rsidR="00C57E4A" w:rsidRDefault="00CC4E46">
      <w:pPr>
        <w:numPr>
          <w:ilvl w:val="0"/>
          <w:numId w:val="2"/>
        </w:numPr>
        <w:ind w:hanging="360"/>
      </w:pPr>
      <w:r>
        <w:t>Nawiew  powietrza przez nawietrzaki okienne  zamontowane na ramie okiennej wg załączonych rysunków</w:t>
      </w:r>
    </w:p>
    <w:p w:rsidR="00C57E4A" w:rsidRPr="00A47F4D" w:rsidRDefault="00CC4E46">
      <w:pPr>
        <w:numPr>
          <w:ilvl w:val="0"/>
          <w:numId w:val="2"/>
        </w:numPr>
        <w:ind w:hanging="360"/>
        <w:rPr>
          <w:strike/>
        </w:rPr>
      </w:pPr>
      <w:r>
        <w:t>Wywiew powietrza zużytego przez</w:t>
      </w:r>
      <w:r w:rsidR="00A47F4D">
        <w:t xml:space="preserve"> kanały wentylacyjne murowane istniejące</w:t>
      </w:r>
      <w:r>
        <w:t xml:space="preserve"> </w:t>
      </w:r>
      <w:r w:rsidRPr="00A47F4D">
        <w:rPr>
          <w:strike/>
        </w:rPr>
        <w:t>wentylatory dachowe o wydajności 460 m3/h  każdy przez wyrzutnię dachową    na zewnątrz budynku</w:t>
      </w:r>
    </w:p>
    <w:p w:rsidR="00C57E4A" w:rsidRPr="00A47F4D" w:rsidRDefault="00CC4E46">
      <w:pPr>
        <w:numPr>
          <w:ilvl w:val="0"/>
          <w:numId w:val="2"/>
        </w:numPr>
        <w:ind w:hanging="360"/>
        <w:rPr>
          <w:strike/>
        </w:rPr>
      </w:pPr>
      <w:r w:rsidRPr="00A47F4D">
        <w:rPr>
          <w:strike/>
        </w:rPr>
        <w:t>Wentylator w obudowie akustycznej</w:t>
      </w:r>
    </w:p>
    <w:p w:rsidR="00C57E4A" w:rsidRPr="00A47F4D" w:rsidRDefault="00CC4E46">
      <w:pPr>
        <w:numPr>
          <w:ilvl w:val="0"/>
          <w:numId w:val="2"/>
        </w:numPr>
        <w:spacing w:after="470"/>
        <w:ind w:hanging="360"/>
        <w:rPr>
          <w:strike/>
        </w:rPr>
      </w:pPr>
      <w:r w:rsidRPr="00A47F4D">
        <w:rPr>
          <w:strike/>
        </w:rPr>
        <w:t xml:space="preserve">W pomieszczeniach </w:t>
      </w:r>
      <w:r w:rsidR="00A47F4D" w:rsidRPr="00A47F4D">
        <w:rPr>
          <w:strike/>
        </w:rPr>
        <w:t>sanitariatów</w:t>
      </w:r>
      <w:r w:rsidRPr="00A47F4D">
        <w:rPr>
          <w:strike/>
        </w:rPr>
        <w:t xml:space="preserve"> przewidziano podciśnienie w wysokości ok. 20%.</w:t>
      </w:r>
    </w:p>
    <w:p w:rsidR="00C57E4A" w:rsidRDefault="00CC4E46">
      <w:pPr>
        <w:spacing w:after="222" w:line="259" w:lineRule="auto"/>
        <w:ind w:left="938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Opracował: </w:t>
      </w:r>
    </w:p>
    <w:p w:rsidR="00C57E4A" w:rsidRDefault="00CC4E46">
      <w:pPr>
        <w:spacing w:after="222" w:line="259" w:lineRule="auto"/>
        <w:ind w:left="938" w:right="222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mgr </w:t>
      </w:r>
      <w:r>
        <w:rPr>
          <w:rFonts w:ascii="Times New Roman" w:eastAsia="Times New Roman" w:hAnsi="Times New Roman" w:cs="Times New Roman"/>
          <w:sz w:val="20"/>
        </w:rPr>
        <w:t xml:space="preserve">inż. Aneta Rychlińska </w:t>
      </w:r>
    </w:p>
    <w:p w:rsidR="00C57E4A" w:rsidRDefault="00C57E4A">
      <w:pPr>
        <w:spacing w:after="0" w:line="259" w:lineRule="auto"/>
        <w:ind w:left="4723" w:right="-665" w:firstLine="0"/>
        <w:jc w:val="left"/>
      </w:pPr>
    </w:p>
    <w:p w:rsidR="00C57E4A" w:rsidRDefault="00C57E4A">
      <w:pPr>
        <w:spacing w:after="0" w:line="259" w:lineRule="auto"/>
        <w:ind w:left="4173" w:right="-662" w:firstLine="0"/>
        <w:jc w:val="left"/>
      </w:pPr>
    </w:p>
    <w:p w:rsidR="00C57E4A" w:rsidRDefault="00C57E4A">
      <w:pPr>
        <w:spacing w:after="707" w:line="259" w:lineRule="auto"/>
        <w:ind w:left="3123" w:right="-394" w:firstLine="0"/>
        <w:jc w:val="left"/>
      </w:pPr>
    </w:p>
    <w:sectPr w:rsidR="00C57E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58" w:right="1440" w:bottom="542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E46" w:rsidRDefault="00CC4E46">
      <w:pPr>
        <w:spacing w:after="0" w:line="240" w:lineRule="auto"/>
      </w:pPr>
      <w:r>
        <w:separator/>
      </w:r>
    </w:p>
  </w:endnote>
  <w:endnote w:type="continuationSeparator" w:id="0">
    <w:p w:rsidR="00CC4E46" w:rsidRDefault="00CC4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E4A" w:rsidRDefault="00C57E4A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E4A" w:rsidRDefault="00C57E4A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E4A" w:rsidRDefault="00C57E4A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E46" w:rsidRDefault="00CC4E46">
      <w:pPr>
        <w:spacing w:after="0" w:line="240" w:lineRule="auto"/>
      </w:pPr>
      <w:r>
        <w:separator/>
      </w:r>
    </w:p>
  </w:footnote>
  <w:footnote w:type="continuationSeparator" w:id="0">
    <w:p w:rsidR="00CC4E46" w:rsidRDefault="00CC4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E4A" w:rsidRDefault="00CC4E46">
    <w:pPr>
      <w:spacing w:after="0" w:line="259" w:lineRule="auto"/>
      <w:ind w:left="-1440" w:right="1046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5511912</wp:posOffset>
              </wp:positionH>
              <wp:positionV relativeFrom="page">
                <wp:posOffset>2795016</wp:posOffset>
              </wp:positionV>
              <wp:extent cx="1" cy="1524"/>
              <wp:effectExtent l="0" t="0" r="0" b="0"/>
              <wp:wrapSquare wrapText="bothSides"/>
              <wp:docPr id="891410" name="Group 8914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524"/>
                        <a:chOff x="0" y="0"/>
                        <a:chExt cx="1" cy="1524"/>
                      </a:xfrm>
                    </wpg:grpSpPr>
                    <wps:wsp>
                      <wps:cNvPr id="891411" name="Shape 891411"/>
                      <wps:cNvSpPr/>
                      <wps:spPr>
                        <a:xfrm>
                          <a:off x="0" y="0"/>
                          <a:ext cx="0" cy="15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1524">
                              <a:moveTo>
                                <a:pt x="0" y="0"/>
                              </a:moveTo>
                              <a:lnTo>
                                <a:pt x="0" y="1524"/>
                              </a:lnTo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1">
                          <a:srgbClr val="989898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70A5D91" id="Group 891410" o:spid="_x0000_s1026" style="position:absolute;margin-left:434pt;margin-top:220.1pt;width:0;height:.1pt;z-index:251663360;mso-position-horizontal-relative:page;mso-position-vertical-relative:page" coordsize="1,1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">
              <v:shape id="Shape 891411" o:spid="_x0000_s1027" style="position:absolute;width:0;height:1524;visibility:visible;mso-wrap-style:square;v-text-anchor:top" coordsize="0,15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1ik8oA&#10;AADfAAAADwAAAGRycy9kb3ducmV2LnhtbESPT2vCQBTE74LfYXmF3nST2pYYXUVKCz1Yqf9Qb4/s&#10;axLMvg3ZbYzf3i0UPA4z8xtmOu9MJVpqXGlZQTyMQBBnVpecK9htPwYJCOeRNVaWScGVHMxn/d4U&#10;U20vvKZ243MRIOxSVFB4X6dSuqwgg25oa+Lg/djGoA+yyaVu8BLgppJPUfQqDZYcFgqs6a2g7Lz5&#10;NQpW6+rrfNx3L8tdYttR9D1avZ8OSj0+dIsJCE+dv4f/259aQTKOn+MY/v6ELyBnN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GINYpPKAAAA3wAAAA8AAAAAAAAAAAAAAAAAmAIA&#10;AGRycy9kb3ducmV2LnhtbFBLBQYAAAAABAAEAPUAAACPAwAAAAA=&#10;" path="m,l,1524e" filled="f" strokecolor="#989898" strokeweight="0">
                <v:stroke endcap="round"/>
                <v:path arrowok="t" textboxrect="0,0,0,1524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E4A" w:rsidRDefault="00C57E4A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E4A" w:rsidRDefault="00CC4E46">
    <w:pPr>
      <w:spacing w:after="0" w:line="259" w:lineRule="auto"/>
      <w:ind w:left="-1440" w:right="1046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5511912</wp:posOffset>
              </wp:positionH>
              <wp:positionV relativeFrom="page">
                <wp:posOffset>2795016</wp:posOffset>
              </wp:positionV>
              <wp:extent cx="1" cy="1524"/>
              <wp:effectExtent l="0" t="0" r="0" b="0"/>
              <wp:wrapSquare wrapText="bothSides"/>
              <wp:docPr id="891401" name="Group 89140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524"/>
                        <a:chOff x="0" y="0"/>
                        <a:chExt cx="1" cy="1524"/>
                      </a:xfrm>
                    </wpg:grpSpPr>
                    <wps:wsp>
                      <wps:cNvPr id="891402" name="Shape 891402"/>
                      <wps:cNvSpPr/>
                      <wps:spPr>
                        <a:xfrm>
                          <a:off x="0" y="0"/>
                          <a:ext cx="0" cy="15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1524">
                              <a:moveTo>
                                <a:pt x="0" y="0"/>
                              </a:moveTo>
                              <a:lnTo>
                                <a:pt x="0" y="1524"/>
                              </a:lnTo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1">
                          <a:srgbClr val="989898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818F590" id="Group 891401" o:spid="_x0000_s1026" style="position:absolute;margin-left:434pt;margin-top:220.1pt;width:0;height:.1pt;z-index:251664384;mso-position-horizontal-relative:page;mso-position-vertical-relative:page" coordsize="1,1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">
              <v:shape id="Shape 891402" o:spid="_x0000_s1027" style="position:absolute;width:0;height:1524;visibility:visible;mso-wrap-style:square;v-text-anchor:top" coordsize="0,15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ZqOcoA&#10;AADfAAAADwAAAGRycy9kb3ducmV2LnhtbESPT2vCQBTE74LfYXlCb7qrtiWmriLSQg9V6j9sb4/s&#10;axLMvg3ZbUy/fVco9DjMzG+Y+bKzlWip8aVjDeORAkGcOVNyruF4eBkmIHxANlg5Jg0/5GG56Pfm&#10;mBp35R21+5CLCGGfooYihDqV0mcFWfQjVxNH78s1FkOUTS5Ng9cIt5WcKPUoLZYcFwqsaV1Qdtl/&#10;Ww3bXbW5fJy6h7dj4tqpep9unz/PWt8NutUTiEBd+A//tV+NhmQ2vlcTuP2JX0AufgE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BcGajnKAAAA3wAAAA8AAAAAAAAAAAAAAAAAmAIA&#10;AGRycy9kb3ducmV2LnhtbFBLBQYAAAAABAAEAPUAAACPAwAAAAA=&#10;" path="m,l,1524e" filled="f" strokecolor="#989898" strokeweight="0">
                <v:stroke endcap="round"/>
                <v:path arrowok="t" textboxrect="0,0,0,1524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4F72B9"/>
    <w:multiLevelType w:val="hybridMultilevel"/>
    <w:tmpl w:val="C3C4B0C2"/>
    <w:lvl w:ilvl="0" w:tplc="7B5E4350">
      <w:start w:val="1"/>
      <w:numFmt w:val="bullet"/>
      <w:lvlText w:val="-"/>
      <w:lvlJc w:val="left"/>
      <w:pPr>
        <w:ind w:left="36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3A7640">
      <w:start w:val="1"/>
      <w:numFmt w:val="bullet"/>
      <w:lvlText w:val="o"/>
      <w:lvlJc w:val="left"/>
      <w:pPr>
        <w:ind w:left="108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9CB3A8">
      <w:start w:val="1"/>
      <w:numFmt w:val="bullet"/>
      <w:lvlText w:val="▪"/>
      <w:lvlJc w:val="left"/>
      <w:pPr>
        <w:ind w:left="180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DC158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06AB6C">
      <w:start w:val="1"/>
      <w:numFmt w:val="bullet"/>
      <w:lvlText w:val="o"/>
      <w:lvlJc w:val="left"/>
      <w:pPr>
        <w:ind w:left="324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106402">
      <w:start w:val="1"/>
      <w:numFmt w:val="bullet"/>
      <w:lvlText w:val="▪"/>
      <w:lvlJc w:val="left"/>
      <w:pPr>
        <w:ind w:left="396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DC97A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BA3CFE">
      <w:start w:val="1"/>
      <w:numFmt w:val="bullet"/>
      <w:lvlText w:val="o"/>
      <w:lvlJc w:val="left"/>
      <w:pPr>
        <w:ind w:left="540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5743938">
      <w:start w:val="1"/>
      <w:numFmt w:val="bullet"/>
      <w:lvlText w:val="▪"/>
      <w:lvlJc w:val="left"/>
      <w:pPr>
        <w:ind w:left="612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B202D4C"/>
    <w:multiLevelType w:val="hybridMultilevel"/>
    <w:tmpl w:val="109C782E"/>
    <w:lvl w:ilvl="0" w:tplc="14BE3794">
      <w:start w:val="1"/>
      <w:numFmt w:val="bullet"/>
      <w:lvlText w:val="-"/>
      <w:lvlJc w:val="left"/>
      <w:pPr>
        <w:ind w:left="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760782">
      <w:start w:val="1"/>
      <w:numFmt w:val="bullet"/>
      <w:lvlText w:val="o"/>
      <w:lvlJc w:val="left"/>
      <w:pPr>
        <w:ind w:left="1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22546E">
      <w:start w:val="1"/>
      <w:numFmt w:val="bullet"/>
      <w:lvlText w:val="▪"/>
      <w:lvlJc w:val="left"/>
      <w:pPr>
        <w:ind w:left="20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F847F6">
      <w:start w:val="1"/>
      <w:numFmt w:val="bullet"/>
      <w:lvlText w:val="•"/>
      <w:lvlJc w:val="left"/>
      <w:pPr>
        <w:ind w:left="2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5455D2">
      <w:start w:val="1"/>
      <w:numFmt w:val="bullet"/>
      <w:lvlText w:val="o"/>
      <w:lvlJc w:val="left"/>
      <w:pPr>
        <w:ind w:left="3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767D80">
      <w:start w:val="1"/>
      <w:numFmt w:val="bullet"/>
      <w:lvlText w:val="▪"/>
      <w:lvlJc w:val="left"/>
      <w:pPr>
        <w:ind w:left="4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263242">
      <w:start w:val="1"/>
      <w:numFmt w:val="bullet"/>
      <w:lvlText w:val="•"/>
      <w:lvlJc w:val="left"/>
      <w:pPr>
        <w:ind w:left="4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4EEFEC">
      <w:start w:val="1"/>
      <w:numFmt w:val="bullet"/>
      <w:lvlText w:val="o"/>
      <w:lvlJc w:val="left"/>
      <w:pPr>
        <w:ind w:left="5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60E226">
      <w:start w:val="1"/>
      <w:numFmt w:val="bullet"/>
      <w:lvlText w:val="▪"/>
      <w:lvlJc w:val="left"/>
      <w:pPr>
        <w:ind w:left="6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E4A"/>
    <w:rsid w:val="00592DD6"/>
    <w:rsid w:val="00A47F4D"/>
    <w:rsid w:val="00C57E4A"/>
    <w:rsid w:val="00CC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15BC9C-C792-41C2-BAA2-FEA72286C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" w:line="250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52"/>
      <w:ind w:left="10" w:hanging="10"/>
      <w:outlineLvl w:val="0"/>
    </w:pPr>
    <w:rPr>
      <w:rFonts w:ascii="Lucida Console" w:eastAsia="Lucida Console" w:hAnsi="Lucida Console" w:cs="Lucida Console"/>
      <w:color w:val="000000"/>
      <w:sz w:val="24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06"/>
      <w:ind w:left="10" w:hanging="10"/>
      <w:outlineLvl w:val="1"/>
    </w:pPr>
    <w:rPr>
      <w:rFonts w:ascii="Arial" w:eastAsia="Arial" w:hAnsi="Arial" w:cs="Arial"/>
      <w:color w:val="000000"/>
      <w:sz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Lucida Console" w:eastAsia="Lucida Console" w:hAnsi="Lucida Console" w:cs="Lucida Console"/>
      <w:color w:val="000000"/>
      <w:sz w:val="24"/>
      <w:u w:val="single" w:color="000000"/>
    </w:rPr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budownictwo</dc:creator>
  <cp:keywords/>
  <cp:lastModifiedBy>budownictwo</cp:lastModifiedBy>
  <cp:revision>2</cp:revision>
  <dcterms:created xsi:type="dcterms:W3CDTF">2019-05-23T08:32:00Z</dcterms:created>
  <dcterms:modified xsi:type="dcterms:W3CDTF">2019-05-23T08:32:00Z</dcterms:modified>
</cp:coreProperties>
</file>